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C9" w:rsidRDefault="002853C9" w:rsidP="002853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85800" cy="666750"/>
            <wp:effectExtent l="19050" t="0" r="0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3C9" w:rsidRDefault="002853C9" w:rsidP="002853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853C9" w:rsidRDefault="002853C9" w:rsidP="002853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345C9">
        <w:rPr>
          <w:rFonts w:ascii="Times New Roman" w:hAnsi="Times New Roman" w:cs="Times New Roman"/>
          <w:sz w:val="28"/>
          <w:szCs w:val="28"/>
        </w:rPr>
        <w:t>ЧАЙРИ</w:t>
      </w:r>
      <w:r>
        <w:rPr>
          <w:rFonts w:ascii="Times New Roman" w:hAnsi="Times New Roman" w:cs="Times New Roman"/>
          <w:sz w:val="28"/>
          <w:szCs w:val="28"/>
        </w:rPr>
        <w:t>НСКОГО</w:t>
      </w:r>
      <w:r w:rsidR="00167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853C9" w:rsidRDefault="002853C9" w:rsidP="002853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ШАРОЙСКОГО МУНИЦИПАЛЬНОГО РАЙОНА</w:t>
      </w:r>
    </w:p>
    <w:p w:rsidR="002853C9" w:rsidRDefault="002853C9" w:rsidP="002853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2853C9" w:rsidRDefault="002853C9" w:rsidP="002853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853C9" w:rsidRDefault="002853C9" w:rsidP="002853C9">
      <w:pPr>
        <w:ind w:left="10" w:right="5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НОХЧИЙН РЕСПУБЛИКИН ШАРОЙН МУНИЦИПАЛЬНИ К1ОШТАН </w:t>
      </w:r>
      <w:r w:rsidR="00A345C9">
        <w:rPr>
          <w:rFonts w:ascii="Times New Roman" w:hAnsi="Times New Roman"/>
          <w:sz w:val="28"/>
          <w:szCs w:val="28"/>
        </w:rPr>
        <w:t>ЧАЙРИ</w:t>
      </w:r>
      <w:r>
        <w:rPr>
          <w:rFonts w:ascii="Times New Roman" w:hAnsi="Times New Roman"/>
          <w:sz w:val="28"/>
          <w:szCs w:val="28"/>
        </w:rPr>
        <w:t>Н ЮЬРТАН АДМИНИСТРАЦИ</w:t>
      </w:r>
    </w:p>
    <w:p w:rsidR="002853C9" w:rsidRDefault="002853C9" w:rsidP="002853C9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</w:p>
    <w:p w:rsidR="002853C9" w:rsidRDefault="002853C9" w:rsidP="0028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32"/>
        <w:gridCol w:w="2390"/>
        <w:gridCol w:w="4414"/>
        <w:gridCol w:w="608"/>
      </w:tblGrid>
      <w:tr w:rsidR="002853C9" w:rsidTr="002853C9">
        <w:trPr>
          <w:trHeight w:val="261"/>
        </w:trPr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53C9" w:rsidRDefault="002853C9" w:rsidP="0028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августа  2020 г.</w:t>
            </w:r>
          </w:p>
        </w:tc>
        <w:tc>
          <w:tcPr>
            <w:tcW w:w="2390" w:type="dxa"/>
          </w:tcPr>
          <w:p w:rsidR="002853C9" w:rsidRDefault="0028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4" w:type="dxa"/>
            <w:hideMark/>
          </w:tcPr>
          <w:p w:rsidR="002853C9" w:rsidRDefault="0028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53C9" w:rsidRDefault="002853C9" w:rsidP="0028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</w:p>
        </w:tc>
      </w:tr>
    </w:tbl>
    <w:p w:rsidR="002853C9" w:rsidRDefault="002853C9" w:rsidP="0028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с. </w:t>
      </w:r>
      <w:r w:rsidR="00A345C9">
        <w:rPr>
          <w:rFonts w:ascii="Times New Roman" w:eastAsia="Times New Roman" w:hAnsi="Times New Roman"/>
          <w:sz w:val="28"/>
          <w:szCs w:val="24"/>
          <w:lang w:eastAsia="ru-RU"/>
        </w:rPr>
        <w:t>Чайри</w:t>
      </w:r>
    </w:p>
    <w:p w:rsidR="002853C9" w:rsidRDefault="002853C9" w:rsidP="0028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90BB7" w:rsidRPr="00E90BB7" w:rsidRDefault="001D2E31" w:rsidP="00E90BB7">
      <w:pPr>
        <w:pStyle w:val="a6"/>
        <w:jc w:val="center"/>
        <w:rPr>
          <w:rFonts w:ascii="Times New Roman" w:hAnsi="Times New Roman" w:cs="Times New Roman"/>
        </w:rPr>
      </w:pPr>
      <w:r w:rsidRPr="00E90BB7">
        <w:rPr>
          <w:rStyle w:val="a4"/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</w:t>
      </w:r>
    </w:p>
    <w:p w:rsidR="00E90BB7" w:rsidRPr="00E90BB7" w:rsidRDefault="00A345C9" w:rsidP="00E90BB7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Чайри</w:t>
      </w:r>
      <w:r w:rsidR="002853C9">
        <w:rPr>
          <w:rStyle w:val="a4"/>
          <w:rFonts w:ascii="Times New Roman" w:hAnsi="Times New Roman" w:cs="Times New Roman"/>
          <w:sz w:val="28"/>
          <w:szCs w:val="28"/>
        </w:rPr>
        <w:t>н</w:t>
      </w:r>
      <w:r w:rsidR="00330250">
        <w:rPr>
          <w:rStyle w:val="a4"/>
          <w:rFonts w:ascii="Times New Roman" w:hAnsi="Times New Roman" w:cs="Times New Roman"/>
          <w:sz w:val="28"/>
          <w:szCs w:val="28"/>
        </w:rPr>
        <w:t>ского</w:t>
      </w:r>
      <w:r w:rsidR="001D2E31" w:rsidRPr="00E90BB7">
        <w:rPr>
          <w:rStyle w:val="a4"/>
          <w:rFonts w:ascii="Times New Roman" w:hAnsi="Times New Roman" w:cs="Times New Roman"/>
          <w:sz w:val="28"/>
          <w:szCs w:val="28"/>
        </w:rPr>
        <w:t xml:space="preserve"> сельского поселения  и оценки налоговых расходов</w:t>
      </w:r>
    </w:p>
    <w:p w:rsidR="00021A13" w:rsidRPr="001D2E31" w:rsidRDefault="00A345C9" w:rsidP="00E90BB7">
      <w:pPr>
        <w:pStyle w:val="a6"/>
        <w:jc w:val="center"/>
      </w:pPr>
      <w:r>
        <w:rPr>
          <w:rStyle w:val="a4"/>
          <w:rFonts w:ascii="Times New Roman" w:hAnsi="Times New Roman" w:cs="Times New Roman"/>
          <w:sz w:val="28"/>
          <w:szCs w:val="28"/>
        </w:rPr>
        <w:t>Чайри</w:t>
      </w:r>
      <w:r w:rsidR="002853C9">
        <w:rPr>
          <w:rStyle w:val="a4"/>
          <w:rFonts w:ascii="Times New Roman" w:hAnsi="Times New Roman" w:cs="Times New Roman"/>
          <w:sz w:val="28"/>
          <w:szCs w:val="28"/>
        </w:rPr>
        <w:t>н</w:t>
      </w:r>
      <w:r w:rsidR="00330250">
        <w:rPr>
          <w:rStyle w:val="a4"/>
          <w:rFonts w:ascii="Times New Roman" w:hAnsi="Times New Roman" w:cs="Times New Roman"/>
          <w:sz w:val="28"/>
          <w:szCs w:val="28"/>
        </w:rPr>
        <w:t>ского</w:t>
      </w:r>
      <w:r w:rsidR="00021A13" w:rsidRPr="00E90BB7">
        <w:rPr>
          <w:rStyle w:val="a4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21A13" w:rsidRPr="005368BB" w:rsidRDefault="00021A13" w:rsidP="001D2E31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5368BB">
        <w:rPr>
          <w:sz w:val="28"/>
          <w:szCs w:val="28"/>
        </w:rPr>
        <w:t xml:space="preserve">В </w:t>
      </w:r>
      <w:r w:rsidR="001D2E31" w:rsidRPr="001D2E31">
        <w:rPr>
          <w:sz w:val="28"/>
          <w:szCs w:val="28"/>
        </w:rPr>
        <w:t>соответствии со статьей 17</w:t>
      </w:r>
      <w:r w:rsidR="001D2E31">
        <w:rPr>
          <w:sz w:val="28"/>
          <w:szCs w:val="28"/>
        </w:rPr>
        <w:t xml:space="preserve">4.3 Бюджетного кодекса </w:t>
      </w:r>
      <w:r w:rsidR="001D2E31" w:rsidRPr="001D2E31">
        <w:rPr>
          <w:sz w:val="28"/>
          <w:szCs w:val="28"/>
        </w:rPr>
        <w:t>Российской Федерации</w:t>
      </w:r>
      <w:r w:rsidR="001D2E31">
        <w:rPr>
          <w:sz w:val="28"/>
          <w:szCs w:val="28"/>
        </w:rPr>
        <w:t>, п</w:t>
      </w:r>
      <w:r w:rsidR="007E5F23">
        <w:rPr>
          <w:sz w:val="28"/>
          <w:szCs w:val="28"/>
        </w:rPr>
        <w:t>унктом</w:t>
      </w:r>
      <w:r w:rsidR="001D2E31">
        <w:rPr>
          <w:sz w:val="28"/>
          <w:szCs w:val="28"/>
        </w:rPr>
        <w:t xml:space="preserve"> 3 </w:t>
      </w:r>
      <w:r w:rsidR="007E5F23">
        <w:rPr>
          <w:sz w:val="28"/>
          <w:szCs w:val="28"/>
        </w:rPr>
        <w:t>П</w:t>
      </w:r>
      <w:r w:rsidR="001D2E31" w:rsidRPr="001D2E31">
        <w:rPr>
          <w:sz w:val="28"/>
          <w:szCs w:val="28"/>
        </w:rPr>
        <w:t xml:space="preserve">остановления Правительства </w:t>
      </w:r>
      <w:r w:rsidR="007E5F23" w:rsidRPr="007E5F23">
        <w:rPr>
          <w:sz w:val="28"/>
          <w:szCs w:val="28"/>
        </w:rPr>
        <w:t>Российской Федерации</w:t>
      </w:r>
      <w:r w:rsidR="001D2E31" w:rsidRPr="001D2E31">
        <w:rPr>
          <w:sz w:val="28"/>
          <w:szCs w:val="28"/>
        </w:rPr>
        <w:t xml:space="preserve"> от </w:t>
      </w:r>
      <w:r w:rsidR="001D2E31">
        <w:rPr>
          <w:sz w:val="28"/>
          <w:szCs w:val="28"/>
        </w:rPr>
        <w:t>22 июня 2019 г</w:t>
      </w:r>
      <w:r w:rsidR="007E5F23">
        <w:rPr>
          <w:sz w:val="28"/>
          <w:szCs w:val="28"/>
        </w:rPr>
        <w:t>ода</w:t>
      </w:r>
      <w:r w:rsidR="001D2E31">
        <w:rPr>
          <w:sz w:val="28"/>
          <w:szCs w:val="28"/>
        </w:rPr>
        <w:t xml:space="preserve"> № 796 «Об общих </w:t>
      </w:r>
      <w:r w:rsidR="001D2E31" w:rsidRPr="001D2E31">
        <w:rPr>
          <w:sz w:val="28"/>
          <w:szCs w:val="28"/>
        </w:rPr>
        <w:t>требованиях к оценке налоговых расходов</w:t>
      </w:r>
      <w:r w:rsidR="001D2E31">
        <w:rPr>
          <w:sz w:val="28"/>
          <w:szCs w:val="28"/>
        </w:rPr>
        <w:t xml:space="preserve"> субъектов Российской Федерации </w:t>
      </w:r>
      <w:r w:rsidR="001D2E31" w:rsidRPr="001D2E31">
        <w:rPr>
          <w:sz w:val="28"/>
          <w:szCs w:val="28"/>
        </w:rPr>
        <w:t xml:space="preserve">и муниципальных образований», </w:t>
      </w:r>
      <w:r w:rsidR="005368BB" w:rsidRPr="005368BB">
        <w:rPr>
          <w:sz w:val="28"/>
          <w:szCs w:val="28"/>
        </w:rPr>
        <w:t xml:space="preserve">администрация </w:t>
      </w:r>
      <w:r w:rsidR="00A345C9">
        <w:rPr>
          <w:sz w:val="28"/>
          <w:szCs w:val="28"/>
        </w:rPr>
        <w:t>Чайри</w:t>
      </w:r>
      <w:r w:rsidR="002853C9">
        <w:rPr>
          <w:sz w:val="28"/>
          <w:szCs w:val="28"/>
        </w:rPr>
        <w:t>н</w:t>
      </w:r>
      <w:r w:rsidR="00330250">
        <w:rPr>
          <w:sz w:val="28"/>
          <w:szCs w:val="28"/>
        </w:rPr>
        <w:t xml:space="preserve">ского </w:t>
      </w:r>
      <w:r w:rsidR="005368BB" w:rsidRPr="005368BB">
        <w:rPr>
          <w:sz w:val="28"/>
          <w:szCs w:val="28"/>
        </w:rPr>
        <w:t xml:space="preserve">сельского поселения    </w:t>
      </w:r>
      <w:r w:rsidR="005368BB" w:rsidRPr="005368BB">
        <w:rPr>
          <w:b/>
          <w:sz w:val="28"/>
          <w:szCs w:val="28"/>
        </w:rPr>
        <w:t>п о с т а н о в л я е т:</w:t>
      </w:r>
    </w:p>
    <w:p w:rsidR="002853C9" w:rsidRDefault="00021A13" w:rsidP="005368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8BB">
        <w:rPr>
          <w:rFonts w:ascii="Times New Roman" w:hAnsi="Times New Roman" w:cs="Times New Roman"/>
          <w:sz w:val="28"/>
          <w:szCs w:val="28"/>
        </w:rPr>
        <w:t xml:space="preserve">1. Утвердить Порядок </w:t>
      </w:r>
      <w:r w:rsidR="001D2E31" w:rsidRPr="001D2E31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</w:t>
      </w:r>
      <w:r w:rsidR="00A345C9">
        <w:rPr>
          <w:rFonts w:ascii="Times New Roman" w:hAnsi="Times New Roman" w:cs="Times New Roman"/>
          <w:sz w:val="28"/>
          <w:szCs w:val="28"/>
        </w:rPr>
        <w:t>Чайри</w:t>
      </w:r>
      <w:r w:rsidR="002853C9">
        <w:rPr>
          <w:rFonts w:ascii="Times New Roman" w:hAnsi="Times New Roman" w:cs="Times New Roman"/>
          <w:sz w:val="28"/>
          <w:szCs w:val="28"/>
        </w:rPr>
        <w:t>н</w:t>
      </w:r>
      <w:r w:rsidR="00330250">
        <w:rPr>
          <w:rFonts w:ascii="Times New Roman" w:hAnsi="Times New Roman" w:cs="Times New Roman"/>
          <w:sz w:val="28"/>
          <w:szCs w:val="28"/>
        </w:rPr>
        <w:t>ского</w:t>
      </w:r>
      <w:r w:rsidR="007E5F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2E31" w:rsidRPr="001D2E31">
        <w:rPr>
          <w:rFonts w:ascii="Times New Roman" w:hAnsi="Times New Roman" w:cs="Times New Roman"/>
          <w:sz w:val="28"/>
          <w:szCs w:val="28"/>
        </w:rPr>
        <w:t xml:space="preserve">и оценки налоговых расходов </w:t>
      </w:r>
      <w:r w:rsidR="00A345C9">
        <w:rPr>
          <w:rFonts w:ascii="Times New Roman" w:hAnsi="Times New Roman" w:cs="Times New Roman"/>
          <w:sz w:val="28"/>
          <w:szCs w:val="28"/>
        </w:rPr>
        <w:t>Чайри</w:t>
      </w:r>
      <w:r w:rsidR="002853C9">
        <w:rPr>
          <w:rFonts w:ascii="Times New Roman" w:hAnsi="Times New Roman" w:cs="Times New Roman"/>
          <w:sz w:val="28"/>
          <w:szCs w:val="28"/>
        </w:rPr>
        <w:t>н</w:t>
      </w:r>
      <w:r w:rsidR="00330250">
        <w:rPr>
          <w:rFonts w:ascii="Times New Roman" w:hAnsi="Times New Roman" w:cs="Times New Roman"/>
          <w:sz w:val="28"/>
          <w:szCs w:val="28"/>
        </w:rPr>
        <w:t>ского</w:t>
      </w:r>
      <w:r w:rsidR="001D2E31" w:rsidRPr="001D2E3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368BB" w:rsidRPr="005368BB">
        <w:rPr>
          <w:rFonts w:ascii="Times New Roman" w:hAnsi="Times New Roman" w:cs="Times New Roman"/>
          <w:sz w:val="28"/>
          <w:szCs w:val="28"/>
        </w:rPr>
        <w:t xml:space="preserve"> (приложение № 1).        </w:t>
      </w:r>
    </w:p>
    <w:p w:rsidR="005368BB" w:rsidRPr="005368BB" w:rsidRDefault="005368BB" w:rsidP="005368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8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68BB" w:rsidRDefault="005368BB" w:rsidP="005368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8BB">
        <w:rPr>
          <w:rFonts w:ascii="Times New Roman" w:hAnsi="Times New Roman" w:cs="Times New Roman"/>
          <w:sz w:val="28"/>
          <w:szCs w:val="28"/>
        </w:rPr>
        <w:t xml:space="preserve">2. Обнародовать данное постановление путем размещения на информационном стенде администрации </w:t>
      </w:r>
      <w:r w:rsidR="00A345C9">
        <w:rPr>
          <w:rFonts w:ascii="Times New Roman" w:hAnsi="Times New Roman" w:cs="Times New Roman"/>
          <w:sz w:val="28"/>
          <w:szCs w:val="28"/>
        </w:rPr>
        <w:t>Чайри</w:t>
      </w:r>
      <w:r w:rsidR="002853C9">
        <w:rPr>
          <w:rFonts w:ascii="Times New Roman" w:hAnsi="Times New Roman" w:cs="Times New Roman"/>
          <w:sz w:val="28"/>
          <w:szCs w:val="28"/>
        </w:rPr>
        <w:t>н</w:t>
      </w:r>
      <w:r w:rsidR="00330250">
        <w:rPr>
          <w:rFonts w:ascii="Times New Roman" w:hAnsi="Times New Roman" w:cs="Times New Roman"/>
          <w:sz w:val="28"/>
          <w:szCs w:val="28"/>
        </w:rPr>
        <w:t>ского</w:t>
      </w:r>
      <w:r w:rsidRPr="005368BB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администрации </w:t>
      </w:r>
      <w:r w:rsidR="00A345C9">
        <w:rPr>
          <w:rFonts w:ascii="Times New Roman" w:hAnsi="Times New Roman" w:cs="Times New Roman"/>
          <w:sz w:val="28"/>
          <w:szCs w:val="28"/>
        </w:rPr>
        <w:t>Чайри</w:t>
      </w:r>
      <w:r w:rsidR="002853C9">
        <w:rPr>
          <w:rFonts w:ascii="Times New Roman" w:hAnsi="Times New Roman" w:cs="Times New Roman"/>
          <w:sz w:val="28"/>
          <w:szCs w:val="28"/>
        </w:rPr>
        <w:t>н</w:t>
      </w:r>
      <w:r w:rsidR="00330250">
        <w:rPr>
          <w:rFonts w:ascii="Times New Roman" w:hAnsi="Times New Roman" w:cs="Times New Roman"/>
          <w:sz w:val="28"/>
          <w:szCs w:val="28"/>
        </w:rPr>
        <w:t>ского</w:t>
      </w:r>
      <w:r w:rsidRPr="005368BB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2853C9">
        <w:rPr>
          <w:rFonts w:ascii="Times New Roman" w:hAnsi="Times New Roman" w:cs="Times New Roman"/>
          <w:sz w:val="28"/>
          <w:szCs w:val="28"/>
        </w:rPr>
        <w:t>кого поселения.</w:t>
      </w:r>
    </w:p>
    <w:p w:rsidR="002853C9" w:rsidRPr="005368BB" w:rsidRDefault="002853C9" w:rsidP="005368B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68BB" w:rsidRDefault="002853C9" w:rsidP="005368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68BB" w:rsidRPr="005368BB">
        <w:rPr>
          <w:rFonts w:ascii="Times New Roman" w:hAnsi="Times New Roman" w:cs="Times New Roman"/>
          <w:sz w:val="28"/>
          <w:szCs w:val="28"/>
        </w:rPr>
        <w:t xml:space="preserve"> 3. Настоящее постановление вступает в силу с момента подписания.</w:t>
      </w:r>
    </w:p>
    <w:p w:rsidR="002853C9" w:rsidRPr="005368BB" w:rsidRDefault="002853C9" w:rsidP="005368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368BB" w:rsidRPr="005368BB" w:rsidRDefault="002853C9" w:rsidP="005368B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68BB" w:rsidRPr="005368BB">
        <w:rPr>
          <w:rFonts w:ascii="Times New Roman" w:hAnsi="Times New Roman" w:cs="Times New Roman"/>
          <w:sz w:val="28"/>
          <w:szCs w:val="28"/>
        </w:rPr>
        <w:t xml:space="preserve"> 4. </w:t>
      </w:r>
      <w:r w:rsidR="001D2E31" w:rsidRPr="001D2E3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      </w:t>
      </w:r>
      <w:r w:rsidR="00A345C9">
        <w:rPr>
          <w:rFonts w:ascii="Times New Roman" w:hAnsi="Times New Roman" w:cs="Times New Roman"/>
          <w:sz w:val="28"/>
          <w:szCs w:val="28"/>
        </w:rPr>
        <w:t>Кубиева Р.Ш</w:t>
      </w:r>
      <w:r>
        <w:rPr>
          <w:rFonts w:ascii="Times New Roman" w:hAnsi="Times New Roman" w:cs="Times New Roman"/>
          <w:sz w:val="28"/>
          <w:szCs w:val="28"/>
        </w:rPr>
        <w:t>.,</w:t>
      </w:r>
      <w:r w:rsidR="00330250">
        <w:rPr>
          <w:rFonts w:ascii="Times New Roman" w:hAnsi="Times New Roman" w:cs="Times New Roman"/>
          <w:sz w:val="28"/>
          <w:szCs w:val="28"/>
        </w:rPr>
        <w:t xml:space="preserve"> </w:t>
      </w:r>
      <w:r w:rsidR="001D2E31" w:rsidRPr="001D2E31">
        <w:rPr>
          <w:rFonts w:ascii="Times New Roman" w:hAnsi="Times New Roman" w:cs="Times New Roman"/>
          <w:sz w:val="28"/>
          <w:szCs w:val="28"/>
        </w:rPr>
        <w:t xml:space="preserve"> главного специалиста администрации </w:t>
      </w:r>
      <w:r w:rsidR="00A345C9">
        <w:rPr>
          <w:rFonts w:ascii="Times New Roman" w:hAnsi="Times New Roman" w:cs="Times New Roman"/>
          <w:sz w:val="28"/>
          <w:szCs w:val="28"/>
        </w:rPr>
        <w:t>Чайри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30250">
        <w:rPr>
          <w:rFonts w:ascii="Times New Roman" w:hAnsi="Times New Roman" w:cs="Times New Roman"/>
          <w:sz w:val="28"/>
          <w:szCs w:val="28"/>
        </w:rPr>
        <w:t>ского</w:t>
      </w:r>
      <w:r w:rsidR="001D2E31" w:rsidRPr="001D2E3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368BB" w:rsidRPr="005368BB" w:rsidRDefault="005368BB" w:rsidP="005368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368BB" w:rsidRDefault="005368BB" w:rsidP="005368B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22E29" w:rsidRPr="005368BB" w:rsidRDefault="00122E29" w:rsidP="005368BB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2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7"/>
        <w:gridCol w:w="2163"/>
        <w:gridCol w:w="2976"/>
      </w:tblGrid>
      <w:tr w:rsidR="00122E29" w:rsidRPr="00611AF1" w:rsidTr="00330250">
        <w:tc>
          <w:tcPr>
            <w:tcW w:w="5067" w:type="dxa"/>
          </w:tcPr>
          <w:p w:rsidR="00122E29" w:rsidRPr="00611AF1" w:rsidRDefault="002853C9" w:rsidP="006D5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</w:t>
            </w:r>
            <w:r w:rsidR="00122E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="00122E29" w:rsidRPr="00611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122E29" w:rsidRPr="00611AF1" w:rsidRDefault="00A345C9" w:rsidP="006D5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330250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r w:rsidR="00122E29" w:rsidRPr="00611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</w:t>
            </w:r>
          </w:p>
        </w:tc>
        <w:tc>
          <w:tcPr>
            <w:tcW w:w="2163" w:type="dxa"/>
            <w:hideMark/>
          </w:tcPr>
          <w:p w:rsidR="00122E29" w:rsidRPr="00611AF1" w:rsidRDefault="00122E29" w:rsidP="006D5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122E29" w:rsidRPr="00611AF1" w:rsidRDefault="00122E29" w:rsidP="006D5BA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2E29" w:rsidRPr="00611AF1" w:rsidRDefault="00330250" w:rsidP="002853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2853C9">
              <w:rPr>
                <w:rFonts w:ascii="Times New Roman" w:eastAsia="Times New Roman" w:hAnsi="Times New Roman" w:cs="Times New Roman"/>
                <w:sz w:val="28"/>
                <w:szCs w:val="28"/>
              </w:rPr>
              <w:t>Х.К. Мусалова</w:t>
            </w:r>
          </w:p>
        </w:tc>
      </w:tr>
    </w:tbl>
    <w:p w:rsidR="008D242D" w:rsidRPr="0078068F" w:rsidRDefault="008D242D" w:rsidP="008D24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8D242D" w:rsidRPr="0078068F" w:rsidRDefault="008D242D" w:rsidP="008D24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8D242D" w:rsidRPr="0078068F" w:rsidRDefault="008D242D" w:rsidP="008D24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806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8068F">
        <w:rPr>
          <w:rFonts w:ascii="Times New Roman" w:hAnsi="Times New Roman" w:cs="Times New Roman"/>
          <w:sz w:val="24"/>
          <w:szCs w:val="24"/>
        </w:rPr>
        <w:t>УТВЕРЖДЕН</w:t>
      </w:r>
    </w:p>
    <w:p w:rsidR="008D242D" w:rsidRPr="0078068F" w:rsidRDefault="008D242D" w:rsidP="008D24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806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068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8D242D" w:rsidRPr="0078068F" w:rsidRDefault="00A345C9" w:rsidP="008D242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Чайри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нского сельского поселения </w:t>
      </w:r>
    </w:p>
    <w:p w:rsidR="00122E29" w:rsidRPr="0078068F" w:rsidRDefault="008D242D" w:rsidP="008D242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806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8068F">
        <w:rPr>
          <w:rFonts w:ascii="Times New Roman" w:hAnsi="Times New Roman" w:cs="Times New Roman"/>
          <w:sz w:val="24"/>
          <w:szCs w:val="24"/>
        </w:rPr>
        <w:t>от 20.08.2020 №03</w:t>
      </w:r>
    </w:p>
    <w:p w:rsidR="00021A13" w:rsidRPr="0078068F" w:rsidRDefault="00021A13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564DF" w:rsidRPr="0078068F" w:rsidRDefault="006564DF" w:rsidP="008D242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68F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DE2D5E" w:rsidRPr="0078068F" w:rsidRDefault="001D2E31" w:rsidP="008D242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68F">
        <w:rPr>
          <w:rFonts w:ascii="Times New Roman" w:hAnsi="Times New Roman" w:cs="Times New Roman"/>
          <w:b/>
          <w:sz w:val="24"/>
          <w:szCs w:val="24"/>
        </w:rPr>
        <w:t xml:space="preserve">формирования перечня налоговых расходов </w:t>
      </w:r>
      <w:r w:rsidR="00A345C9">
        <w:rPr>
          <w:rFonts w:ascii="Times New Roman" w:hAnsi="Times New Roman" w:cs="Times New Roman"/>
          <w:b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b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b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и оценки налоговых расходов </w:t>
      </w:r>
      <w:r w:rsidR="00A345C9">
        <w:rPr>
          <w:rFonts w:ascii="Times New Roman" w:hAnsi="Times New Roman" w:cs="Times New Roman"/>
          <w:b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b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b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E2D5E" w:rsidRPr="0078068F" w:rsidRDefault="008D242D" w:rsidP="008D242D">
      <w:pPr>
        <w:pStyle w:val="a6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1.1. Настоящий Порядок определяет процедуру формирования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r w:rsidRPr="0078068F">
        <w:rPr>
          <w:rFonts w:ascii="Times New Roman" w:hAnsi="Times New Roman" w:cs="Times New Roman"/>
          <w:sz w:val="24"/>
          <w:szCs w:val="24"/>
        </w:rPr>
        <w:t>оценки,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1.2. Понятия, используемые в настоящем Порядке: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куратор налогового расхода – орган местного самоуправления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ответственный в соответствии с полномочиями, установленными нормативными правовыми актами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за достижение соответствующих налоговому расходу целей муниципальной программы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(или) целей социально-экономического развития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 к муниципальным программам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нормативные характеристики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сведения о положениях нормативных правовых актов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которыми предусматриваются налоговые льготы, освобождения и иные преференции по налогам </w:t>
      </w:r>
      <w:r w:rsidRPr="0078068F">
        <w:rPr>
          <w:rFonts w:ascii="Times New Roman" w:hAnsi="Times New Roman" w:cs="Times New Roman"/>
          <w:sz w:val="24"/>
          <w:szCs w:val="24"/>
        </w:rPr>
        <w:br/>
        <w:t>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</w:t>
      </w:r>
      <w:r w:rsidR="006D5BA7" w:rsidRPr="0078068F">
        <w:rPr>
          <w:rFonts w:ascii="Times New Roman" w:hAnsi="Times New Roman" w:cs="Times New Roman"/>
          <w:sz w:val="24"/>
          <w:szCs w:val="24"/>
        </w:rPr>
        <w:t>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оценка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комплекс мероприятий по оценке объемов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обусловленных льготами, предоставленными плательщикам, а также по оценке эффективности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оценка объемов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определение объемов выпадающих доходов бюджета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обусловленных льготами, предоставленными плательщикам;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паспорт налогового расхода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перечень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330250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документ, содержащий сведения о распределении налоговых расходов в соответствии с целями муниципальных программ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структурных элементов муниципальных программ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(или) целями социально-экономического развития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относящимися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Pr="0078068F">
        <w:rPr>
          <w:rFonts w:ascii="Times New Roman" w:hAnsi="Times New Roman" w:cs="Times New Roman"/>
          <w:sz w:val="24"/>
          <w:szCs w:val="24"/>
        </w:rPr>
        <w:t>к муниципальным программам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а также о кураторах налоговых расходов;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плательщики – плательщики налогов;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социальные налоговые расходы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целевая категория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обусловленных необходимостью обеспечения социальной защиты (поддержки) населения;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стимулирующие налоговые расходы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целевая категория налоговых расходов, предполагающих стимулирование экономической активности субъектов </w:t>
      </w:r>
      <w:r w:rsidRPr="0078068F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предпринимательской </w:t>
      </w:r>
      <w:r w:rsidR="008D242D" w:rsidRPr="0078068F">
        <w:rPr>
          <w:rFonts w:ascii="Times New Roman" w:hAnsi="Times New Roman" w:cs="Times New Roman"/>
          <w:sz w:val="24"/>
          <w:szCs w:val="24"/>
        </w:rPr>
        <w:t>деятельности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последующее увеличение доходов бюджета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технические налоговые расходы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фискальные характеристики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целевые характеристики налогового расхода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1.3. Отнесение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осуществляется исходя из целей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структурных элементов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(или) целей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относящихся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1.4. В целях оценки налоговых расходов администрация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формирует перечень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содержащий информацию, предусмотренную приложением № 1 к настоящему Порядку;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обеспечивает сбор и формирование информации о нормативных, целевых и фискальных характеристиках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необходимой для проведения их оценки, в том числе формирует оценку объемов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за отчетный финансовый год, а также оценку объемов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на текущий финансовый год, очередной финансовый год и плановый период на основании сведений, представленных в администрацию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территориальным налоговым органом;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осуществляет обобщение результатов оценки эффективности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проводимой кураторами налоговых расходов.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1.4. В целях оценки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кураторы налоговых расходов: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формируют паспорта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содержащие информацию, предусмотренную приложением № 2 к настоящему Порядку;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осуществляют оценку эффективности налоговых расходов</w:t>
      </w:r>
      <w:r w:rsidR="008D242D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E2D5E" w:rsidRPr="0078068F" w:rsidRDefault="00DE2D5E" w:rsidP="008D242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68F">
        <w:rPr>
          <w:rFonts w:ascii="Times New Roman" w:hAnsi="Times New Roman" w:cs="Times New Roman"/>
          <w:b/>
          <w:sz w:val="24"/>
          <w:szCs w:val="24"/>
        </w:rPr>
        <w:t xml:space="preserve">2. Порядок формирования перечня налоговых расходов </w:t>
      </w:r>
      <w:r w:rsidR="00A345C9">
        <w:rPr>
          <w:rFonts w:ascii="Times New Roman" w:hAnsi="Times New Roman" w:cs="Times New Roman"/>
          <w:b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b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b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2.1. Проект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 и плановый период формируется финансово-экономическим сектором администрации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до 10 апреля и направляется на согласование ответственным исполнителям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которых предлагается определить в качестве кураторов налоговых расходов.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2.2. Кураторы налоговых расходов до 1 мая рассматривают проект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на предмет предлагаемого распределения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целями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структурных элементов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(или) целями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относящимися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Замечания и предложения по уточнению проекта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E2D5E" w:rsidRPr="0078068F">
        <w:rPr>
          <w:rFonts w:ascii="Times New Roman" w:hAnsi="Times New Roman" w:cs="Times New Roman"/>
          <w:sz w:val="24"/>
          <w:szCs w:val="24"/>
        </w:rPr>
        <w:lastRenderedPageBreak/>
        <w:t>направляются в финансово-экономический сектор администрации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В случае,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сектор экономики и финансов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в течение срока, указанного в абзаце первом настоящего пункта.</w:t>
      </w:r>
      <w:bookmarkStart w:id="0" w:name="_GoBack"/>
      <w:bookmarkEnd w:id="0"/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В случае, если эти замечания и предложения не направлены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в сектор экономики и финансов в течение срока, указанного в абзаце первом настоящего пункта, проект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считается согласованным в соответствующей части.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В случае, если замечания и предложения по уточнению проекта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не содержат предложений по уточнению предлагаемого распределения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целями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структурных элементов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(или) целями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не относящимися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проект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считается согласованным в соответствующей части.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Согласование проекта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в части позиций, изложенных идентично позициям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на текущий финансовый год и плановый период, не требуется, за исключением случаев внесения изменений в перечень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структурные элементы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и (или) случаев изменения полномочий органов местного самоуправления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942809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определенных в качестве кураторов налоговых расходов.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При наличии разногласий, сектор экономики и финансов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CB3651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обеспечивает согласование проекта перечня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CB3651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с соответствующими кураторами налоговых расходов до 1 июня.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2.3. Согласованный перечень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размещается на официальном сайте администрации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в информационно-телекоммуникационной сети «Интернет».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2.4. В случае внесения в текущем финансовом году изменений в перечень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структурные элементы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сельского поселения, кураторы налоговых расходов не позднее 10 рабочих дней со дня внесения соответствующих изменений направляют в сектор экономики и финансов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сельского поселения соответствующую информацию для уточнения перечня налоговых расходов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2.5. Перечень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с внесенными в него изменениями формируется до 1 октября (в случае уточнения структурных элементов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в рамках формирования проекта о местного бюджете на очередной финансовый год и плановый период) и до 30 декабря (в случае уточнения структурных элементов муниципальных программ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в рамках рассмотрения и утверждения проекта о местного бюджете на очередной финансовый год и плановый период).</w:t>
      </w:r>
    </w:p>
    <w:p w:rsidR="00DE2D5E" w:rsidRPr="0078068F" w:rsidRDefault="00DE2D5E" w:rsidP="008D242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68F">
        <w:rPr>
          <w:rFonts w:ascii="Times New Roman" w:hAnsi="Times New Roman" w:cs="Times New Roman"/>
          <w:b/>
          <w:sz w:val="24"/>
          <w:szCs w:val="24"/>
        </w:rPr>
        <w:t xml:space="preserve">3. Порядок оценки эффективности налоговых расходов </w:t>
      </w:r>
      <w:r w:rsidR="00A345C9">
        <w:rPr>
          <w:rFonts w:ascii="Times New Roman" w:hAnsi="Times New Roman" w:cs="Times New Roman"/>
          <w:b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b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b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и обобщения результатов оценки эффективности налоговых расходов </w:t>
      </w:r>
      <w:r w:rsidR="00A345C9">
        <w:rPr>
          <w:rFonts w:ascii="Times New Roman" w:hAnsi="Times New Roman" w:cs="Times New Roman"/>
          <w:b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b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b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D5E" w:rsidRPr="0078068F" w:rsidRDefault="008D242D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3.1. В целях проведения оценки эффективности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17FFB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поселения:</w:t>
      </w:r>
    </w:p>
    <w:p w:rsidR="00DE2D5E" w:rsidRPr="0078068F" w:rsidRDefault="00D17FFB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3.1.1 Сектор экономики и финансов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сельского поселения до 1 февраля направляет налоговый орган информацию о категориях </w:t>
      </w:r>
      <w:r w:rsidRPr="0078068F">
        <w:rPr>
          <w:rFonts w:ascii="Times New Roman" w:hAnsi="Times New Roman" w:cs="Times New Roman"/>
          <w:sz w:val="24"/>
          <w:szCs w:val="24"/>
        </w:rPr>
        <w:t>плательщиков,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 указанием обусловливающих соответствующие налоговые расходы нормативных правовых актов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в том числе действовавших в отчетном году и в году, предшествующем отчетному году.</w:t>
      </w:r>
    </w:p>
    <w:p w:rsidR="00DE2D5E" w:rsidRPr="0078068F" w:rsidRDefault="00D17FFB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3.1.2. Сектор экономики и финансов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до 20 мая направляет кураторам налоговых расходов сведения, представленные налоговым органом 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 (далее - Общие требования), а также результаты оценки совокупного бюджетного эффекта (самоокупаемости).</w:t>
      </w:r>
    </w:p>
    <w:p w:rsidR="00DE2D5E" w:rsidRPr="0078068F" w:rsidRDefault="00D17FFB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3.1.3. Отдел экономического развития и архива администрации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до 20 августа при необходимости представляет в Министерство финансов Чеченской Республики информацию, предусмотренную Общими требованиями.</w:t>
      </w:r>
    </w:p>
    <w:p w:rsidR="00DE2D5E" w:rsidRPr="0078068F" w:rsidRDefault="00D17FFB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3.2. Оценка эффективности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осуществляется кураторами налоговых расходов в соответствии с методиками, утвержденными нормативными правовыми актами органов исполнительной власти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поселения, и включает: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оценку целесообразности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оценку результативности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3.3. Критериями целесообразности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являются: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соответствие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целям муниципальных программ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структурным элементам муниципальных программ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целям социально-экономического развития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относящимся к муниципальным программам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3.4. В случае несоответствия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хотя бы одному из критериев, указанных в пункте 3.3 настоящего раздела, куратору налогового расхода надлежит представить в отдел экономического развития и архива администрации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предложения о сохранении (уточнении, отмене) льгот для плательщиков.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3.5. В качестве критерия результативности налогового расхода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определяется как минимум один показатель (индикатор) достижения целей муниципальной программы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целей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относящихся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либо иной показатель (индикатор), на значение которого оказывают влияние налоговые расходы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Оценке подлежит вклад предусмотренных для плательщиков льгот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в изменение значения показателя (индикатора) достижения целей муниципальной программы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целями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относящимися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3.6. Оценка результативности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включает оценку бюджетной эффективности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3.7. В целях оценки бюджетной эффективности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целей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относящихся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а также оценка совокупного бюджетного эффекта (самоокупаемости) стимулирующих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3.8. 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целей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относящихся 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и объемов предоставленных льгот (расчет прироста показателя (индикатора) достижения целей муниципальной программы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целей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относящихся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на 1 рубль налоговых расходов и на 1 рубль расходов местного бюджета для достижения того же показателя (индикатора) в случае применения альтернативных механизмов).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В качестве альтернативных механизмов достижения целей муниципальной программы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(или) целей социально-экономического развития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не относящихся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к муниципальным программам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могут учитываться в том числе: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-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- предоставление муниципальных гарантий по обязательствам плательщиков, имеющих право на льготы;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-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3.9. Оценка совокупного бюджетного эффекта (самоокупаемости) стимулирующих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определяется отдельно по каждому налоговому расходу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поселения. В случае,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определяется в целом по указанной категории плательщиков.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3.10. Оценка совокупного бюджетного эффекта (самоокупаемости) стимулирующих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– на день проведения оценки эффективности налогового расхода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(E) по следующей формуле: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где: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i – порядковый номер года, имеющий значение от 1 до 5;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mi – количество плательщиков, воспользовавшихся льготой в i-м году;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j – порядковый номер плательщика, имеющий значение от 1 до m;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N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ij</w:t>
      </w:r>
      <w:r w:rsidRPr="0078068F">
        <w:rPr>
          <w:rFonts w:ascii="Times New Roman" w:hAnsi="Times New Roman" w:cs="Times New Roman"/>
          <w:sz w:val="24"/>
          <w:szCs w:val="24"/>
        </w:rPr>
        <w:t xml:space="preserve"> – объем налогов, задекларированных для уплаты в бюджет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j-м плательщиком в i-м году.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 </w:t>
      </w:r>
      <w:r w:rsidRPr="0078068F">
        <w:rPr>
          <w:rFonts w:ascii="Times New Roman" w:hAnsi="Times New Roman" w:cs="Times New Roman"/>
          <w:sz w:val="24"/>
          <w:szCs w:val="24"/>
        </w:rPr>
        <w:t>В случае если на день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6 лет, объемы налогов, подлежащих уплате в бюджет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оцениваются (прогнозируются) администрацией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B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0j</w:t>
      </w:r>
      <w:r w:rsidRPr="0078068F">
        <w:rPr>
          <w:rFonts w:ascii="Times New Roman" w:hAnsi="Times New Roman" w:cs="Times New Roman"/>
          <w:sz w:val="24"/>
          <w:szCs w:val="24"/>
        </w:rPr>
        <w:t xml:space="preserve"> – базовый объем налогов, задекларированных для уплаты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в бюджет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сельского поселения j-м плательщиком в базовом году;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lastRenderedPageBreak/>
        <w:t>gi – номинальный темп прироста налоговых доходов бюджета в i-м году по отношению к показателям базового года;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r – расчетная стоимость среднесрочных рыночных заимствований, определяемая в соответствии с постановлением Правительства РФ от 22.06.2019№ 796 «Об общих требованиях к оценке налоговых расходов субъектов Российской Федерации и муниципальных образований».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3.11. Базовый объем налогов, задекларированных для уплаты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в бюджет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>ского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j-м плательщиком в базовом году (Boj), рассчитывается по формуле: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B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0j</w:t>
      </w:r>
      <w:r w:rsidRPr="0078068F">
        <w:rPr>
          <w:rFonts w:ascii="Times New Roman" w:hAnsi="Times New Roman" w:cs="Times New Roman"/>
          <w:sz w:val="24"/>
          <w:szCs w:val="24"/>
        </w:rPr>
        <w:t xml:space="preserve"> = N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0j</w:t>
      </w:r>
      <w:r w:rsidRPr="0078068F">
        <w:rPr>
          <w:rFonts w:ascii="Times New Roman" w:hAnsi="Times New Roman" w:cs="Times New Roman"/>
          <w:sz w:val="24"/>
          <w:szCs w:val="24"/>
        </w:rPr>
        <w:t xml:space="preserve"> + L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0j</w:t>
      </w:r>
      <w:r w:rsidRPr="0078068F">
        <w:rPr>
          <w:rFonts w:ascii="Times New Roman" w:hAnsi="Times New Roman" w:cs="Times New Roman"/>
          <w:sz w:val="24"/>
          <w:szCs w:val="24"/>
        </w:rPr>
        <w:t>,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где: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N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0j</w:t>
      </w:r>
      <w:r w:rsidRPr="0078068F">
        <w:rPr>
          <w:rFonts w:ascii="Times New Roman" w:hAnsi="Times New Roman" w:cs="Times New Roman"/>
          <w:sz w:val="24"/>
          <w:szCs w:val="24"/>
        </w:rPr>
        <w:t xml:space="preserve"> - объем налогов, задекларированных для уплаты в бюджет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j-м плательщиком в базовом году;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L</w:t>
      </w:r>
      <w:r w:rsidRPr="0078068F">
        <w:rPr>
          <w:rFonts w:ascii="Times New Roman" w:hAnsi="Times New Roman" w:cs="Times New Roman"/>
          <w:sz w:val="24"/>
          <w:szCs w:val="24"/>
          <w:vertAlign w:val="subscript"/>
        </w:rPr>
        <w:t>0j</w:t>
      </w:r>
      <w:r w:rsidRPr="0078068F">
        <w:rPr>
          <w:rFonts w:ascii="Times New Roman" w:hAnsi="Times New Roman" w:cs="Times New Roman"/>
          <w:sz w:val="24"/>
          <w:szCs w:val="24"/>
        </w:rPr>
        <w:t xml:space="preserve"> - объем льгот, предоставленных j-му плательщику в базовом году.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</w:t>
      </w:r>
      <w:r w:rsidR="00DE2D5E" w:rsidRPr="0078068F">
        <w:rPr>
          <w:rFonts w:ascii="Times New Roman" w:hAnsi="Times New Roman" w:cs="Times New Roman"/>
          <w:sz w:val="24"/>
          <w:szCs w:val="24"/>
        </w:rPr>
        <w:t>3.12. Результаты оценки эффективности налогового расхода должны направляться кураторами в отдел экономического развития и архива администрации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B5129B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и содержать: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выводы о достижении целевых характеристик (критериев целесообразности) налогового расхода;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выводы о вкладе налогового расхода в достижение целей муниципальной программы и (или) целей социально-экономической политики;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  - выводы о наличии или об отсутствии более результативных (менее затратных для местного бюджета) альтернативных механизмов достижения целей муниципальной программы и (или) целей социально-экономической политики.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Pr="0078068F">
        <w:rPr>
          <w:rFonts w:ascii="Times New Roman" w:hAnsi="Times New Roman" w:cs="Times New Roman"/>
          <w:sz w:val="24"/>
          <w:szCs w:val="24"/>
        </w:rPr>
        <w:t>Паспорта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результаты оценки эффективности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рекомендации по результатам указанной оценки, включая рекомендации администрации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о необходимости сохранения (уточнения, отмены), предоставленных плательщикам льгот, направляются кураторами налоговых расходов в администрацию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ежегодно, до 1 июля.</w:t>
      </w:r>
    </w:p>
    <w:p w:rsidR="00DE2D5E" w:rsidRPr="0078068F" w:rsidRDefault="0078068F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D5E" w:rsidRPr="0078068F">
        <w:rPr>
          <w:rFonts w:ascii="Times New Roman" w:hAnsi="Times New Roman" w:cs="Times New Roman"/>
          <w:sz w:val="24"/>
          <w:szCs w:val="24"/>
        </w:rPr>
        <w:t xml:space="preserve">3.13. Сектор экономики и финансов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 обобщает результаты оценки налоговых расходов</w:t>
      </w:r>
      <w:r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DE2D5E" w:rsidRPr="0078068F">
        <w:rPr>
          <w:rFonts w:ascii="Times New Roman" w:hAnsi="Times New Roman" w:cs="Times New Roman"/>
          <w:sz w:val="24"/>
          <w:szCs w:val="24"/>
        </w:rPr>
        <w:t>сельского поселения, согласовывает их с кураторами налоговых расходов.</w:t>
      </w:r>
    </w:p>
    <w:p w:rsidR="00DE2D5E" w:rsidRPr="0078068F" w:rsidRDefault="00DE2D5E" w:rsidP="008D242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8068F">
        <w:rPr>
          <w:rFonts w:ascii="Times New Roman" w:hAnsi="Times New Roman" w:cs="Times New Roman"/>
          <w:sz w:val="24"/>
          <w:szCs w:val="24"/>
        </w:rPr>
        <w:t>Согласованная информация о результатах оценки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 xml:space="preserve">сельского поселения с предложениями о сохранении (уточнении, отмене) льгот для плательщиков до 1 августа направляется Главе администрации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Pr="0078068F">
        <w:rPr>
          <w:rFonts w:ascii="Times New Roman" w:hAnsi="Times New Roman" w:cs="Times New Roman"/>
          <w:sz w:val="24"/>
          <w:szCs w:val="24"/>
        </w:rPr>
        <w:t>Результаты рассмотрения оценки налоговых расходов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 учитываются при формировании основных направлений бюджетной и налоговой политики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поселения, а также при проведении оценки эффективности реализации муниципальных программ</w:t>
      </w:r>
      <w:r w:rsidR="0078068F" w:rsidRPr="0078068F">
        <w:rPr>
          <w:rFonts w:ascii="Times New Roman" w:hAnsi="Times New Roman" w:cs="Times New Roman"/>
          <w:sz w:val="24"/>
          <w:szCs w:val="24"/>
        </w:rPr>
        <w:t xml:space="preserve"> </w:t>
      </w:r>
      <w:r w:rsidR="00A345C9">
        <w:rPr>
          <w:rFonts w:ascii="Times New Roman" w:hAnsi="Times New Roman" w:cs="Times New Roman"/>
          <w:sz w:val="24"/>
          <w:szCs w:val="24"/>
        </w:rPr>
        <w:t>Чайри</w:t>
      </w:r>
      <w:r w:rsidR="002853C9" w:rsidRPr="0078068F">
        <w:rPr>
          <w:rFonts w:ascii="Times New Roman" w:hAnsi="Times New Roman" w:cs="Times New Roman"/>
          <w:sz w:val="24"/>
          <w:szCs w:val="24"/>
        </w:rPr>
        <w:t>н</w:t>
      </w:r>
      <w:r w:rsidR="00E4103F" w:rsidRPr="0078068F">
        <w:rPr>
          <w:rFonts w:ascii="Times New Roman" w:hAnsi="Times New Roman" w:cs="Times New Roman"/>
          <w:sz w:val="24"/>
          <w:szCs w:val="24"/>
        </w:rPr>
        <w:t xml:space="preserve">ского </w:t>
      </w:r>
      <w:r w:rsidRPr="0078068F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E2D5E" w:rsidRDefault="00DE2D5E" w:rsidP="00DE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E2D5E" w:rsidSect="008D242D">
          <w:headerReference w:type="default" r:id="rId8"/>
          <w:pgSz w:w="11906" w:h="16838"/>
          <w:pgMar w:top="1134" w:right="849" w:bottom="1134" w:left="1134" w:header="709" w:footer="709" w:gutter="0"/>
          <w:cols w:space="708"/>
          <w:titlePg/>
          <w:docGrid w:linePitch="360"/>
        </w:sectPr>
      </w:pPr>
    </w:p>
    <w:p w:rsidR="00DE2D5E" w:rsidRPr="000F348A" w:rsidRDefault="00DE2D5E" w:rsidP="00DE2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2D5E" w:rsidRPr="000F348A" w:rsidRDefault="00DE2D5E" w:rsidP="00DE2D5E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hAnsi="Times New Roman" w:cs="Times New Roman"/>
          <w:sz w:val="24"/>
          <w:szCs w:val="24"/>
        </w:rPr>
        <w:tab/>
      </w: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>Приложение № 1</w:t>
      </w:r>
    </w:p>
    <w:p w:rsidR="00DE2D5E" w:rsidRPr="000F348A" w:rsidRDefault="00DE2D5E" w:rsidP="00DE2D5E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к Порядку формирования перечня налоговых расходов </w:t>
      </w:r>
    </w:p>
    <w:p w:rsidR="00DE2D5E" w:rsidRPr="000F348A" w:rsidRDefault="00A345C9" w:rsidP="00DE2D5E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Чайри</w:t>
      </w:r>
      <w:r w:rsidR="002853C9">
        <w:rPr>
          <w:rFonts w:ascii="Times New Roman" w:eastAsia="Times New Roman" w:hAnsi="Times New Roman" w:cs="Times New Roman"/>
          <w:color w:val="282828"/>
          <w:sz w:val="24"/>
          <w:szCs w:val="24"/>
        </w:rPr>
        <w:t>н</w:t>
      </w:r>
      <w:r w:rsidR="00E4103F">
        <w:rPr>
          <w:rFonts w:ascii="Times New Roman" w:eastAsia="Times New Roman" w:hAnsi="Times New Roman" w:cs="Times New Roman"/>
          <w:color w:val="282828"/>
          <w:sz w:val="24"/>
          <w:szCs w:val="24"/>
        </w:rPr>
        <w:t>ского</w:t>
      </w:r>
      <w:r w:rsidR="00DE2D5E"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сельского поселения и оценки налоговых расходов</w:t>
      </w:r>
    </w:p>
    <w:p w:rsidR="00DE2D5E" w:rsidRPr="000F348A" w:rsidRDefault="0078068F" w:rsidP="00DE2D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</w:p>
    <w:p w:rsidR="00DE2D5E" w:rsidRPr="000F348A" w:rsidRDefault="00DE2D5E" w:rsidP="00DE2D5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>Перечень</w:t>
      </w:r>
    </w:p>
    <w:p w:rsidR="00DE2D5E" w:rsidRPr="000F348A" w:rsidRDefault="00DE2D5E" w:rsidP="00DE2D5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налоговых расходов </w:t>
      </w:r>
      <w:r w:rsidR="00A345C9">
        <w:rPr>
          <w:rFonts w:ascii="Times New Roman" w:eastAsia="Times New Roman" w:hAnsi="Times New Roman" w:cs="Times New Roman"/>
          <w:color w:val="282828"/>
          <w:sz w:val="24"/>
          <w:szCs w:val="24"/>
        </w:rPr>
        <w:t>Чайри</w:t>
      </w:r>
      <w:r w:rsidR="002853C9">
        <w:rPr>
          <w:rFonts w:ascii="Times New Roman" w:eastAsia="Times New Roman" w:hAnsi="Times New Roman" w:cs="Times New Roman"/>
          <w:color w:val="282828"/>
          <w:sz w:val="24"/>
          <w:szCs w:val="24"/>
        </w:rPr>
        <w:t>н</w:t>
      </w:r>
      <w:r w:rsidR="00E4103F">
        <w:rPr>
          <w:rFonts w:ascii="Times New Roman" w:eastAsia="Times New Roman" w:hAnsi="Times New Roman" w:cs="Times New Roman"/>
          <w:color w:val="282828"/>
          <w:sz w:val="24"/>
          <w:szCs w:val="24"/>
        </w:rPr>
        <w:t>ского</w:t>
      </w: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сельского поселения, обусловленных налоговыми льготами, освобождениями</w:t>
      </w:r>
    </w:p>
    <w:p w:rsidR="00DE2D5E" w:rsidRPr="000F348A" w:rsidRDefault="00DE2D5E" w:rsidP="00DE2D5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>и иными преференциями по налогам, предусмотренными в качестве мер муниципальной поддержки</w:t>
      </w:r>
    </w:p>
    <w:p w:rsidR="00DE2D5E" w:rsidRPr="000F348A" w:rsidRDefault="00DE2D5E" w:rsidP="00DE2D5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в соответствии с целями муниципальных программ </w:t>
      </w:r>
      <w:r w:rsidR="00A345C9">
        <w:rPr>
          <w:rFonts w:ascii="Times New Roman" w:eastAsia="Times New Roman" w:hAnsi="Times New Roman" w:cs="Times New Roman"/>
          <w:color w:val="282828"/>
          <w:sz w:val="24"/>
          <w:szCs w:val="24"/>
        </w:rPr>
        <w:t>Чайри</w:t>
      </w:r>
      <w:r w:rsidR="002853C9">
        <w:rPr>
          <w:rFonts w:ascii="Times New Roman" w:eastAsia="Times New Roman" w:hAnsi="Times New Roman" w:cs="Times New Roman"/>
          <w:color w:val="282828"/>
          <w:sz w:val="24"/>
          <w:szCs w:val="24"/>
        </w:rPr>
        <w:t>н</w:t>
      </w:r>
      <w:r w:rsidR="00E4103F">
        <w:rPr>
          <w:rFonts w:ascii="Times New Roman" w:eastAsia="Times New Roman" w:hAnsi="Times New Roman" w:cs="Times New Roman"/>
          <w:color w:val="282828"/>
          <w:sz w:val="24"/>
          <w:szCs w:val="24"/>
        </w:rPr>
        <w:t>ского</w:t>
      </w: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сельского поселения</w:t>
      </w:r>
    </w:p>
    <w:p w:rsidR="00DE2D5E" w:rsidRDefault="00DE2D5E" w:rsidP="00DE2D5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282828"/>
        </w:rPr>
      </w:pPr>
    </w:p>
    <w:p w:rsidR="00DE2D5E" w:rsidRPr="00D85904" w:rsidRDefault="00DE2D5E" w:rsidP="00DE2D5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color w:val="282828"/>
        </w:rPr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1365"/>
        <w:gridCol w:w="1376"/>
        <w:gridCol w:w="1812"/>
        <w:gridCol w:w="1508"/>
        <w:gridCol w:w="1266"/>
        <w:gridCol w:w="1987"/>
        <w:gridCol w:w="1987"/>
        <w:gridCol w:w="1987"/>
        <w:gridCol w:w="1405"/>
      </w:tblGrid>
      <w:tr w:rsidR="00DE2D5E" w:rsidRPr="00D85904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№</w:t>
            </w:r>
          </w:p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п/п</w:t>
            </w:r>
          </w:p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Краткое наименование</w:t>
            </w:r>
          </w:p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налогового расхода</w:t>
            </w:r>
          </w:p>
          <w:p w:rsidR="00DE2D5E" w:rsidRPr="000F348A" w:rsidRDefault="00A345C9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="00DE2D5E"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Полное наименование налогового расхода </w:t>
            </w:r>
            <w:r w:rsidR="00A345C9"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Реквизиты нормативного правового акта </w:t>
            </w:r>
            <w:r w:rsidR="00A345C9"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поселения, устанавливающего налоговый расход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Целевая категория налогового расхода </w:t>
            </w:r>
            <w:r w:rsidR="00A345C9"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Наименование муниципальной программы </w:t>
            </w:r>
            <w:r w:rsidR="00A345C9"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Наименование подпрограммы муниципальной программы </w:t>
            </w:r>
            <w:r w:rsidR="00A345C9"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Наименование структурного элемента подпрограммы муниципальной программы </w:t>
            </w:r>
            <w:r w:rsidR="00A345C9">
              <w:rPr>
                <w:rFonts w:ascii="Times New Roman" w:eastAsia="Times New Roman" w:hAnsi="Times New Roman" w:cs="Times New Roman"/>
                <w:color w:val="282828"/>
              </w:rPr>
              <w:t>Чайри</w:t>
            </w:r>
            <w:r w:rsidR="002853C9">
              <w:rPr>
                <w:rFonts w:ascii="Times New Roman" w:eastAsia="Times New Roman" w:hAnsi="Times New Roman" w:cs="Times New Roman"/>
                <w:color w:val="282828"/>
              </w:rPr>
              <w:t>н</w:t>
            </w:r>
            <w:r w:rsidR="00E4103F">
              <w:rPr>
                <w:rFonts w:ascii="Times New Roman" w:eastAsia="Times New Roman" w:hAnsi="Times New Roman" w:cs="Times New Roman"/>
                <w:color w:val="282828"/>
              </w:rPr>
              <w:t>ского</w:t>
            </w:r>
            <w:r w:rsidRPr="000F348A">
              <w:rPr>
                <w:rFonts w:ascii="Times New Roman" w:eastAsia="Times New Roman" w:hAnsi="Times New Roman" w:cs="Times New Roman"/>
                <w:color w:val="282828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</w:rPr>
            </w:pPr>
            <w:r w:rsidRPr="000F348A">
              <w:rPr>
                <w:rFonts w:ascii="Times New Roman" w:eastAsia="Times New Roman" w:hAnsi="Times New Roman" w:cs="Times New Roman"/>
                <w:color w:val="282828"/>
              </w:rPr>
              <w:t>Наименование куратора налогового расхода</w:t>
            </w:r>
          </w:p>
        </w:tc>
      </w:tr>
      <w:tr w:rsidR="00DE2D5E" w:rsidRPr="00D85904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1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4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5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6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7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8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9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10</w:t>
            </w:r>
          </w:p>
        </w:tc>
      </w:tr>
      <w:tr w:rsidR="00DE2D5E" w:rsidRPr="00D85904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1.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 </w:t>
            </w:r>
          </w:p>
        </w:tc>
      </w:tr>
      <w:tr w:rsidR="00DE2D5E" w:rsidRPr="00D85904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 w:rsidRPr="00D85904">
              <w:rPr>
                <w:rFonts w:ascii="Arial" w:eastAsia="Times New Roman" w:hAnsi="Arial" w:cs="Arial"/>
                <w:color w:val="282828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2D5E" w:rsidRPr="00D85904" w:rsidTr="00A90E8B">
        <w:tc>
          <w:tcPr>
            <w:tcW w:w="570" w:type="dxa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150" w:line="240" w:lineRule="auto"/>
              <w:rPr>
                <w:rFonts w:ascii="Arial" w:eastAsia="Times New Roman" w:hAnsi="Arial" w:cs="Arial"/>
                <w:color w:val="282828"/>
              </w:rPr>
            </w:pPr>
            <w:r>
              <w:rPr>
                <w:rFonts w:ascii="Arial" w:eastAsia="Times New Roman" w:hAnsi="Arial" w:cs="Arial"/>
                <w:color w:val="282828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E2D5E" w:rsidRPr="00D85904" w:rsidRDefault="00DE2D5E" w:rsidP="006D5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E2D5E" w:rsidRDefault="00DE2D5E" w:rsidP="00DE2D5E">
      <w:pPr>
        <w:spacing w:after="0" w:line="240" w:lineRule="exact"/>
        <w:rPr>
          <w:rFonts w:ascii="Times New Roman" w:hAnsi="Times New Roman" w:cs="Times New Roman"/>
          <w:sz w:val="24"/>
          <w:szCs w:val="24"/>
        </w:rPr>
        <w:sectPr w:rsidR="00DE2D5E" w:rsidSect="006D5BA7">
          <w:pgSz w:w="16838" w:h="11906" w:orient="landscape"/>
          <w:pgMar w:top="851" w:right="851" w:bottom="1701" w:left="709" w:header="709" w:footer="709" w:gutter="0"/>
          <w:cols w:space="708"/>
          <w:titlePg/>
          <w:docGrid w:linePitch="360"/>
        </w:sectPr>
      </w:pPr>
    </w:p>
    <w:p w:rsidR="00DE2D5E" w:rsidRPr="00815FC4" w:rsidRDefault="00DE2D5E" w:rsidP="0078068F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15FC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D5BA7" w:rsidRPr="000F348A" w:rsidRDefault="006D5BA7" w:rsidP="0078068F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к Порядку формирования перечня налоговых расходов </w:t>
      </w:r>
    </w:p>
    <w:p w:rsidR="006D5BA7" w:rsidRPr="000F348A" w:rsidRDefault="00A345C9" w:rsidP="0078068F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Чайри</w:t>
      </w:r>
      <w:r w:rsidR="002853C9">
        <w:rPr>
          <w:rFonts w:ascii="Times New Roman" w:eastAsia="Times New Roman" w:hAnsi="Times New Roman" w:cs="Times New Roman"/>
          <w:color w:val="282828"/>
          <w:sz w:val="24"/>
          <w:szCs w:val="24"/>
        </w:rPr>
        <w:t>н</w:t>
      </w:r>
      <w:r w:rsidR="00E4103F">
        <w:rPr>
          <w:rFonts w:ascii="Times New Roman" w:eastAsia="Times New Roman" w:hAnsi="Times New Roman" w:cs="Times New Roman"/>
          <w:color w:val="282828"/>
          <w:sz w:val="24"/>
          <w:szCs w:val="24"/>
        </w:rPr>
        <w:t>ского</w:t>
      </w:r>
      <w:r w:rsidR="006D5BA7"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сельского поселения и оценки налоговых расходов</w:t>
      </w:r>
    </w:p>
    <w:p w:rsidR="006D5BA7" w:rsidRPr="000F348A" w:rsidRDefault="00A345C9" w:rsidP="0078068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Чайри</w:t>
      </w:r>
      <w:r w:rsidR="002853C9">
        <w:rPr>
          <w:rFonts w:ascii="Times New Roman" w:eastAsia="Times New Roman" w:hAnsi="Times New Roman" w:cs="Times New Roman"/>
          <w:color w:val="282828"/>
          <w:sz w:val="24"/>
          <w:szCs w:val="24"/>
        </w:rPr>
        <w:t>н</w:t>
      </w:r>
      <w:r w:rsidR="00E4103F">
        <w:rPr>
          <w:rFonts w:ascii="Times New Roman" w:eastAsia="Times New Roman" w:hAnsi="Times New Roman" w:cs="Times New Roman"/>
          <w:color w:val="282828"/>
          <w:sz w:val="24"/>
          <w:szCs w:val="24"/>
        </w:rPr>
        <w:t>ского</w:t>
      </w:r>
      <w:r w:rsidR="006D5BA7" w:rsidRPr="000F348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сельского поселения</w:t>
      </w:r>
    </w:p>
    <w:p w:rsidR="00DE2D5E" w:rsidRPr="000F348A" w:rsidRDefault="00DE2D5E" w:rsidP="00DE2D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2D5E" w:rsidRPr="000F348A" w:rsidRDefault="00DE2D5E" w:rsidP="00DE2D5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F348A">
        <w:rPr>
          <w:rFonts w:ascii="Times New Roman" w:hAnsi="Times New Roman" w:cs="Times New Roman"/>
          <w:sz w:val="24"/>
          <w:szCs w:val="24"/>
        </w:rPr>
        <w:t>ПЕРЕЧЕНЬ</w:t>
      </w:r>
    </w:p>
    <w:p w:rsidR="00DE2D5E" w:rsidRPr="000F348A" w:rsidRDefault="00DE2D5E" w:rsidP="00DE2D5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F348A">
        <w:rPr>
          <w:rFonts w:ascii="Times New Roman" w:hAnsi="Times New Roman" w:cs="Times New Roman"/>
          <w:sz w:val="24"/>
          <w:szCs w:val="24"/>
        </w:rPr>
        <w:t>информации, включаемой в паспорт налогового расхода</w:t>
      </w:r>
    </w:p>
    <w:p w:rsidR="00DE2D5E" w:rsidRPr="000F348A" w:rsidRDefault="00A345C9" w:rsidP="00DE2D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Чайри</w:t>
      </w:r>
      <w:r w:rsidR="002853C9">
        <w:rPr>
          <w:rFonts w:ascii="Times New Roman" w:hAnsi="Times New Roman" w:cs="Times New Roman"/>
          <w:sz w:val="24"/>
          <w:szCs w:val="24"/>
        </w:rPr>
        <w:t>н</w:t>
      </w:r>
      <w:r w:rsidR="00E4103F">
        <w:rPr>
          <w:rFonts w:ascii="Times New Roman" w:hAnsi="Times New Roman" w:cs="Times New Roman"/>
          <w:sz w:val="24"/>
          <w:szCs w:val="24"/>
        </w:rPr>
        <w:t>ского</w:t>
      </w:r>
      <w:r w:rsidR="00DE2D5E" w:rsidRPr="000F348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W w:w="1020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6660"/>
        <w:gridCol w:w="2970"/>
      </w:tblGrid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2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3</w:t>
            </w:r>
          </w:p>
        </w:tc>
      </w:tr>
      <w:tr w:rsidR="00DE2D5E" w:rsidRPr="000F348A" w:rsidTr="00A90E8B">
        <w:tc>
          <w:tcPr>
            <w:tcW w:w="10200" w:type="dxa"/>
            <w:gridSpan w:val="3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 Нормативные характеристики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</w:t>
            </w:r>
          </w:p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 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которыми предусматриваются налоговые льготы,</w:t>
            </w:r>
          </w:p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 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Категория плательщиков налогов, для которых предусмотрены налоговые льготы,</w:t>
            </w:r>
          </w:p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 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нормативных правовых актов, отменяющих налоговые льготы,</w:t>
            </w:r>
          </w:p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10200" w:type="dxa"/>
            <w:gridSpan w:val="3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 Целевые характеристики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налоговых расходов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муниципальных программ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наименования нормативных правовых актов, определяющих цели социально-экономического развития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не относящиеся к муниципальным программам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целях реализации которых предоставляются налоговые льготы, 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данные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структурных элементов муниципальных программ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</w:t>
            </w:r>
            <w:r w:rsidR="0078068F" w:rsidRPr="000F348A">
              <w:rPr>
                <w:rFonts w:ascii="Times New Roman" w:hAnsi="Times New Roman" w:cs="Times New Roman"/>
                <w:sz w:val="24"/>
                <w:szCs w:val="24"/>
              </w:rPr>
              <w:t>целях,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 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достижения целей муниципальных программ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достижения целей муниципальных программ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и (или) целей социально-экономического развития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не относящихся к муниципальным программам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куратора налогового расхода</w:t>
            </w:r>
          </w:p>
        </w:tc>
      </w:tr>
      <w:tr w:rsidR="00DE2D5E" w:rsidRPr="000F348A" w:rsidTr="00A90E8B">
        <w:tc>
          <w:tcPr>
            <w:tcW w:w="10200" w:type="dxa"/>
            <w:gridSpan w:val="3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3. Фискальные характеристики налогового расхода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нормативно-правовыми актами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за отчетный год и за год, предшествующий отчетному году (тыс. рублей)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налогового органа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администрации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 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налоговыми льготами, освобождениями и иными 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преференциями, установленными нормативно-правовыми актами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(единиц)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налогового 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задекларированный для уплаты в бюджет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плательщиками налогов, имеющими право на налоговые льготы, освобождения и иные преференции, установленные нормативно-правовыми актами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(тыс. рублей)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налогового органа</w:t>
            </w:r>
          </w:p>
        </w:tc>
      </w:tr>
      <w:tr w:rsidR="00DE2D5E" w:rsidRPr="000F348A" w:rsidTr="00A90E8B">
        <w:tc>
          <w:tcPr>
            <w:tcW w:w="5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660" w:type="dxa"/>
            <w:shd w:val="clear" w:color="auto" w:fill="FFFFFF"/>
            <w:vAlign w:val="center"/>
            <w:hideMark/>
          </w:tcPr>
          <w:p w:rsidR="00DE2D5E" w:rsidRPr="000F348A" w:rsidRDefault="00DE2D5E" w:rsidP="00E41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задекларированный для уплаты в бюджет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плательщиками налогов, имеющими право на налоговые льготы, освобождения и иные преференции, установленные нормативно-правовыми актами </w:t>
            </w:r>
            <w:r w:rsidR="00A345C9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2853C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103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за 6 лет, предшествующих отчетному финансовому году (тыс. рублей)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DE2D5E" w:rsidRPr="000F348A" w:rsidRDefault="00DE2D5E" w:rsidP="006D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48A">
              <w:rPr>
                <w:rFonts w:ascii="Times New Roman" w:hAnsi="Times New Roman" w:cs="Times New Roman"/>
                <w:sz w:val="24"/>
                <w:szCs w:val="24"/>
              </w:rPr>
              <w:t>Информация налогового органа</w:t>
            </w:r>
          </w:p>
        </w:tc>
      </w:tr>
    </w:tbl>
    <w:p w:rsidR="00DE2D5E" w:rsidRPr="000F348A" w:rsidRDefault="00DE2D5E" w:rsidP="00DE2D5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DE2D5E" w:rsidRPr="000F348A" w:rsidSect="006D5BA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E4249" w:rsidRDefault="00BE4249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E4249" w:rsidRDefault="00BE4249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Pr="00243BA1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>ФИНАНСОВО-ЭКОНОМИЧЕСКОЕ ОБОСНОВАНИЕ</w:t>
      </w: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постановления</w:t>
      </w: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8C645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Порядок</w:t>
      </w:r>
      <w:r w:rsidR="007806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C645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формирования перечня налоговых расходов</w:t>
      </w:r>
      <w:r w:rsidR="007806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345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Чайри</w:t>
      </w:r>
      <w:r w:rsidR="002853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</w:t>
      </w:r>
      <w:r w:rsidR="00E410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</w:t>
      </w:r>
      <w:r w:rsidRPr="008C645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оценки налоговых расходов</w:t>
      </w:r>
      <w:r w:rsidR="007806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345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Чайри</w:t>
      </w:r>
      <w:r w:rsidR="002853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</w:t>
      </w:r>
      <w:r w:rsidR="00E410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</w:t>
      </w: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</w:p>
    <w:p w:rsidR="00DE2D5E" w:rsidRPr="00243BA1" w:rsidRDefault="00DE2D5E" w:rsidP="00DE2D5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3BA1">
        <w:rPr>
          <w:rFonts w:ascii="Times New Roman" w:eastAsia="Times New Roman" w:hAnsi="Times New Roman" w:cs="Times New Roman"/>
          <w:sz w:val="28"/>
          <w:szCs w:val="28"/>
        </w:rPr>
        <w:t>Принятие проекта не потребует дополнительных денежных расходов, осуществляемых за счет средств местного бюджета.</w:t>
      </w: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НОРМАТИВНЫХ ПРАВОВЫХ АКТОВ, ПОДЛЕЖАЩИХ ИЗДАНИЮ (КОРРЕКТИРОВКЕ)</w:t>
      </w:r>
    </w:p>
    <w:p w:rsidR="00DE2D5E" w:rsidRPr="00243BA1" w:rsidRDefault="00DE2D5E" w:rsidP="00DE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проекта</w:t>
      </w: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8C645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Порядок</w:t>
      </w:r>
      <w:r w:rsidR="007806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C645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формирования перечня налоговых расходов</w:t>
      </w:r>
      <w:r w:rsidR="007806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345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Чайри</w:t>
      </w:r>
      <w:r w:rsidR="002853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</w:t>
      </w:r>
      <w:r w:rsidR="00E410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</w:t>
      </w:r>
      <w:r w:rsidRPr="008C645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оценки налоговых расходов</w:t>
      </w:r>
      <w:r w:rsidR="0078068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345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Чайри</w:t>
      </w:r>
      <w:r w:rsidR="002853C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</w:t>
      </w:r>
      <w:r w:rsidR="00E410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сельского поселения</w:t>
      </w:r>
      <w:r w:rsidRPr="00243BA1">
        <w:rPr>
          <w:rFonts w:ascii="Times New Roman" w:eastAsia="Times New Roman" w:hAnsi="Times New Roman" w:cs="Times New Roman"/>
          <w:sz w:val="28"/>
          <w:szCs w:val="28"/>
          <w:lang w:eastAsia="zh-CN"/>
        </w:rPr>
        <w:t>» не потребует принятия, отмены или изменения других муниципальных нормативных правовых актов</w:t>
      </w:r>
      <w:r w:rsidR="007806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zh-CN"/>
        </w:rPr>
        <w:t>Чайри</w:t>
      </w:r>
      <w:r w:rsidR="002853C9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E4103F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DE2D5E" w:rsidRDefault="00DE2D5E" w:rsidP="00DE2D5E"/>
    <w:p w:rsidR="00DE2D5E" w:rsidRDefault="00DE2D5E" w:rsidP="00DE2D5E"/>
    <w:p w:rsidR="00DE2D5E" w:rsidRDefault="00DE2D5E" w:rsidP="00DE2D5E"/>
    <w:p w:rsidR="00DE2D5E" w:rsidRDefault="00DE2D5E" w:rsidP="00DE2D5E"/>
    <w:p w:rsidR="00DE2D5E" w:rsidRDefault="00DE2D5E" w:rsidP="00DE2D5E"/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E2D5E" w:rsidRDefault="00DE2D5E" w:rsidP="00DE2D5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75D97" w:rsidRPr="006564DF" w:rsidRDefault="00575D97" w:rsidP="001D2E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575D97" w:rsidRPr="006564DF" w:rsidSect="005368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5D1" w:rsidRDefault="00AA35D1" w:rsidP="006D5BA7">
      <w:pPr>
        <w:spacing w:after="0" w:line="240" w:lineRule="auto"/>
      </w:pPr>
      <w:r>
        <w:separator/>
      </w:r>
    </w:p>
  </w:endnote>
  <w:endnote w:type="continuationSeparator" w:id="1">
    <w:p w:rsidR="00AA35D1" w:rsidRDefault="00AA35D1" w:rsidP="006D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5D1" w:rsidRDefault="00AA35D1" w:rsidP="006D5BA7">
      <w:pPr>
        <w:spacing w:after="0" w:line="240" w:lineRule="auto"/>
      </w:pPr>
      <w:r>
        <w:separator/>
      </w:r>
    </w:p>
  </w:footnote>
  <w:footnote w:type="continuationSeparator" w:id="1">
    <w:p w:rsidR="00AA35D1" w:rsidRDefault="00AA35D1" w:rsidP="006D5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2675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242D" w:rsidRPr="006D5BA7" w:rsidRDefault="00A85FEB">
        <w:pPr>
          <w:pStyle w:val="aa"/>
          <w:jc w:val="center"/>
          <w:rPr>
            <w:rFonts w:ascii="Times New Roman" w:hAnsi="Times New Roman" w:cs="Times New Roman"/>
          </w:rPr>
        </w:pPr>
        <w:r w:rsidRPr="006D5BA7">
          <w:rPr>
            <w:rFonts w:ascii="Times New Roman" w:hAnsi="Times New Roman" w:cs="Times New Roman"/>
          </w:rPr>
          <w:fldChar w:fldCharType="begin"/>
        </w:r>
        <w:r w:rsidR="008D242D" w:rsidRPr="006D5BA7">
          <w:rPr>
            <w:rFonts w:ascii="Times New Roman" w:hAnsi="Times New Roman" w:cs="Times New Roman"/>
          </w:rPr>
          <w:instrText>PAGE   \* MERGEFORMAT</w:instrText>
        </w:r>
        <w:r w:rsidRPr="006D5BA7">
          <w:rPr>
            <w:rFonts w:ascii="Times New Roman" w:hAnsi="Times New Roman" w:cs="Times New Roman"/>
          </w:rPr>
          <w:fldChar w:fldCharType="separate"/>
        </w:r>
        <w:r w:rsidR="00A345C9">
          <w:rPr>
            <w:rFonts w:ascii="Times New Roman" w:hAnsi="Times New Roman" w:cs="Times New Roman"/>
            <w:noProof/>
          </w:rPr>
          <w:t>12</w:t>
        </w:r>
        <w:r w:rsidRPr="006D5BA7">
          <w:rPr>
            <w:rFonts w:ascii="Times New Roman" w:hAnsi="Times New Roman" w:cs="Times New Roman"/>
          </w:rPr>
          <w:fldChar w:fldCharType="end"/>
        </w:r>
      </w:p>
    </w:sdtContent>
  </w:sdt>
  <w:p w:rsidR="008D242D" w:rsidRDefault="008D242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DDB"/>
    <w:rsid w:val="00021A13"/>
    <w:rsid w:val="00122E29"/>
    <w:rsid w:val="00133719"/>
    <w:rsid w:val="00167348"/>
    <w:rsid w:val="001D2E31"/>
    <w:rsid w:val="0020104F"/>
    <w:rsid w:val="00213D9E"/>
    <w:rsid w:val="002853C9"/>
    <w:rsid w:val="00330250"/>
    <w:rsid w:val="003A0533"/>
    <w:rsid w:val="003E204A"/>
    <w:rsid w:val="00412A05"/>
    <w:rsid w:val="004B0A69"/>
    <w:rsid w:val="005368BB"/>
    <w:rsid w:val="00575D97"/>
    <w:rsid w:val="005A5C12"/>
    <w:rsid w:val="006564DF"/>
    <w:rsid w:val="00681B68"/>
    <w:rsid w:val="006C32DF"/>
    <w:rsid w:val="006D5BA7"/>
    <w:rsid w:val="0071732C"/>
    <w:rsid w:val="007256E8"/>
    <w:rsid w:val="0078068F"/>
    <w:rsid w:val="007E5F23"/>
    <w:rsid w:val="00807CDE"/>
    <w:rsid w:val="008239F8"/>
    <w:rsid w:val="008A45C8"/>
    <w:rsid w:val="008D242D"/>
    <w:rsid w:val="00942809"/>
    <w:rsid w:val="009457C6"/>
    <w:rsid w:val="00A11BE1"/>
    <w:rsid w:val="00A345C9"/>
    <w:rsid w:val="00A47B59"/>
    <w:rsid w:val="00A85FEB"/>
    <w:rsid w:val="00A90E8B"/>
    <w:rsid w:val="00AA35D1"/>
    <w:rsid w:val="00AF5230"/>
    <w:rsid w:val="00B5129B"/>
    <w:rsid w:val="00B651E2"/>
    <w:rsid w:val="00BD7B26"/>
    <w:rsid w:val="00BE4249"/>
    <w:rsid w:val="00BE683D"/>
    <w:rsid w:val="00BE6DDB"/>
    <w:rsid w:val="00CB3651"/>
    <w:rsid w:val="00D17FFB"/>
    <w:rsid w:val="00D40A11"/>
    <w:rsid w:val="00DE2D5E"/>
    <w:rsid w:val="00E4103F"/>
    <w:rsid w:val="00E90BB7"/>
    <w:rsid w:val="00EF508D"/>
    <w:rsid w:val="00F01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A13"/>
    <w:rPr>
      <w:b/>
      <w:bCs/>
    </w:rPr>
  </w:style>
  <w:style w:type="character" w:styleId="a5">
    <w:name w:val="Hyperlink"/>
    <w:basedOn w:val="a0"/>
    <w:uiPriority w:val="99"/>
    <w:semiHidden/>
    <w:unhideWhenUsed/>
    <w:rsid w:val="00021A13"/>
    <w:rPr>
      <w:color w:val="0000FF"/>
      <w:u w:val="single"/>
    </w:rPr>
  </w:style>
  <w:style w:type="paragraph" w:styleId="a6">
    <w:name w:val="No Spacing"/>
    <w:link w:val="a7"/>
    <w:qFormat/>
    <w:rsid w:val="005368B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6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51E2"/>
    <w:rPr>
      <w:rFonts w:ascii="Segoe UI" w:hAnsi="Segoe UI" w:cs="Segoe UI"/>
      <w:sz w:val="18"/>
      <w:szCs w:val="18"/>
    </w:rPr>
  </w:style>
  <w:style w:type="table" w:customStyle="1" w:styleId="21">
    <w:name w:val="Сетка таблицы21"/>
    <w:basedOn w:val="a1"/>
    <w:uiPriority w:val="59"/>
    <w:rsid w:val="00122E2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D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5BA7"/>
  </w:style>
  <w:style w:type="paragraph" w:styleId="ac">
    <w:name w:val="footer"/>
    <w:basedOn w:val="a"/>
    <w:link w:val="ad"/>
    <w:uiPriority w:val="99"/>
    <w:unhideWhenUsed/>
    <w:rsid w:val="006D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5BA7"/>
  </w:style>
  <w:style w:type="character" w:customStyle="1" w:styleId="a7">
    <w:name w:val="Без интервала Знак"/>
    <w:link w:val="a6"/>
    <w:locked/>
    <w:rsid w:val="00330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4622</Words>
  <Characters>26348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User</cp:lastModifiedBy>
  <cp:revision>11</cp:revision>
  <cp:lastPrinted>2020-09-03T05:50:00Z</cp:lastPrinted>
  <dcterms:created xsi:type="dcterms:W3CDTF">2020-08-16T21:47:00Z</dcterms:created>
  <dcterms:modified xsi:type="dcterms:W3CDTF">2020-09-03T05:51:00Z</dcterms:modified>
</cp:coreProperties>
</file>